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3F2F717A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</w:t>
      </w:r>
      <w:r w:rsidR="00300E07">
        <w:rPr>
          <w:rFonts w:ascii="Book Antiqua" w:eastAsia="Arial" w:hAnsi="Book Antiqua" w:cs="Arial"/>
          <w:b/>
          <w:bCs/>
          <w:color w:val="333333"/>
        </w:rPr>
        <w:t>SMLO-</w:t>
      </w:r>
      <w:r w:rsidR="008E34B3" w:rsidRPr="008E34B3">
        <w:rPr>
          <w:rFonts w:ascii="Book Antiqua" w:eastAsia="Arial" w:hAnsi="Book Antiqua" w:cs="Arial"/>
          <w:b/>
          <w:bCs/>
          <w:color w:val="333333"/>
          <w:highlight w:val="cyan"/>
        </w:rPr>
        <w:t>36</w:t>
      </w:r>
      <w:r w:rsidR="00300E07" w:rsidRPr="008E34B3">
        <w:rPr>
          <w:rFonts w:ascii="Book Antiqua" w:eastAsia="Arial" w:hAnsi="Book Antiqua" w:cs="Arial"/>
          <w:b/>
          <w:bCs/>
          <w:color w:val="333333"/>
          <w:highlight w:val="cyan"/>
        </w:rPr>
        <w:t>/11</w:t>
      </w:r>
      <w:r w:rsidR="008E34B3" w:rsidRPr="008E34B3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  <w:r w:rsidR="00300E07" w:rsidRPr="008E34B3">
        <w:rPr>
          <w:rFonts w:ascii="Book Antiqua" w:eastAsia="Arial" w:hAnsi="Book Antiqua" w:cs="Arial"/>
          <w:b/>
          <w:bCs/>
          <w:color w:val="333333"/>
          <w:highlight w:val="cyan"/>
        </w:rPr>
        <w:t>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7212A5D3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 w:rsidR="00BD6DE6" w:rsidRPr="00D0483E">
        <w:rPr>
          <w:rFonts w:ascii="Book Antiqua" w:eastAsia="Arial" w:hAnsi="Book Antiqua" w:cs="Arial"/>
        </w:rPr>
        <w:t>1. zástupce statutárního orgánu organizace na</w:t>
      </w:r>
      <w:r w:rsidR="00BD6DE6">
        <w:rPr>
          <w:rFonts w:ascii="Book Antiqua" w:eastAsia="Arial" w:hAnsi="Book Antiqua" w:cs="Arial"/>
        </w:rPr>
        <w:t xml:space="preserve"> </w:t>
      </w:r>
      <w:r w:rsidR="00BD6DE6" w:rsidRPr="00D0483E">
        <w:rPr>
          <w:rFonts w:ascii="Book Antiqua" w:eastAsia="Arial" w:hAnsi="Book Antiqua" w:cs="Arial"/>
        </w:rPr>
        <w:t>základě pověření</w:t>
      </w:r>
    </w:p>
    <w:p w14:paraId="65E249CE" w14:textId="3C3E0248" w:rsidR="00E738AE" w:rsidRDefault="00E738AE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Lenka Vašátková – 2. zástupce statutárního orgánu organizace na základě pověření 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4068FF20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</w:p>
    <w:p w14:paraId="61F31AB9" w14:textId="2D2EA060" w:rsidR="00165E5D" w:rsidRDefault="002B2AF6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  <w:lang w:eastAsia="ar-SA"/>
        </w:rPr>
        <w:br w:type="page"/>
      </w:r>
    </w:p>
    <w:p w14:paraId="4E4F21D2" w14:textId="6D0F87F8" w:rsidR="0032044B" w:rsidRPr="00DC6450" w:rsidRDefault="004C35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lastRenderedPageBreak/>
        <w:t>Objednatel má zájem na tom, aby dílčí plnění části veřejné zakázky na stavební práce s názvem „</w:t>
      </w:r>
      <w:r w:rsidRPr="00F669F2">
        <w:rPr>
          <w:rFonts w:ascii="Book Antiqua" w:hAnsi="Book Antiqua" w:cstheme="minorHAnsi"/>
          <w:b/>
          <w:bCs/>
          <w:sz w:val="22"/>
          <w:szCs w:val="22"/>
        </w:rPr>
        <w:t>Silnice III/31218 Klášterec nad Orlicí - 2. část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Pr="00F669F2">
        <w:rPr>
          <w:rFonts w:ascii="Book Antiqua" w:hAnsi="Book Antiqua" w:cstheme="minorHAnsi"/>
          <w:b/>
          <w:bCs/>
          <w:sz w:val="22"/>
          <w:szCs w:val="22"/>
        </w:rPr>
        <w:t>Silnice III/31218 Klášterec nad Orlicí - 2. část</w:t>
      </w:r>
      <w:r w:rsidRPr="001C3036">
        <w:rPr>
          <w:rFonts w:ascii="Book Antiqua" w:eastAsia="Calibri" w:hAnsi="Book Antiqua" w:cs="Arial"/>
          <w:sz w:val="22"/>
          <w:szCs w:val="22"/>
        </w:rPr>
        <w:t>“</w:t>
      </w:r>
      <w:bookmarkStart w:id="1" w:name="_Hlk484447256"/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="00B80B84"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00821A23" w14:textId="77777777" w:rsidR="00D732BA" w:rsidRPr="00DC6450" w:rsidRDefault="00D732BA" w:rsidP="00D732BA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1A315CED" w14:textId="77777777" w:rsidR="00D732BA" w:rsidRDefault="00D732BA" w:rsidP="00D732BA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Dopis o přijetí nabídky</w:t>
      </w:r>
    </w:p>
    <w:p w14:paraId="72C6AA04" w14:textId="77777777" w:rsidR="00D732BA" w:rsidRPr="00DC6450" w:rsidRDefault="00D732BA" w:rsidP="00D732BA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Dopis nabídky</w:t>
      </w:r>
    </w:p>
    <w:p w14:paraId="4A755074" w14:textId="77777777" w:rsidR="00D732BA" w:rsidRPr="001841DD" w:rsidRDefault="00D732BA" w:rsidP="00D732BA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1841DD">
        <w:rPr>
          <w:rFonts w:ascii="Book Antiqua" w:eastAsia="Times New Roman" w:hAnsi="Book Antiqua" w:cs="Arial"/>
          <w:lang w:eastAsia="cs-CZ"/>
        </w:rPr>
        <w:t>Smluvní</w:t>
      </w:r>
      <w:r w:rsidRPr="001841DD">
        <w:rPr>
          <w:rFonts w:ascii="Book Antiqua" w:hAnsi="Book Antiqua" w:cs="Arial"/>
        </w:rPr>
        <w:t xml:space="preserve"> podmínky pro výstavbu pozemních a inženýrských staveb projektovaných objednatelem – Zvláštní podmínky (Správa a údržba silnic Pardubického kraje, První vydání 2020) </w:t>
      </w:r>
    </w:p>
    <w:p w14:paraId="119C5114" w14:textId="77777777" w:rsidR="00D732BA" w:rsidRDefault="00D732BA" w:rsidP="00D732BA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312E8D">
        <w:rPr>
          <w:rFonts w:ascii="Book Antiqua" w:hAnsi="Book Antiqua" w:cs="Arial"/>
        </w:rPr>
        <w:t>Smluvní podmínky pro výstavbu pozemních a inženýrských staveb projektovaných objednatelem (FIDIC FIRST EDITION 1999) - Obecné podmínky</w:t>
      </w:r>
      <w:r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34DF2510" w14:textId="77777777" w:rsidR="00D732BA" w:rsidRPr="00DC6450" w:rsidRDefault="00D732BA" w:rsidP="00D732BA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6F9DA483" w14:textId="77777777" w:rsidR="00D732BA" w:rsidRPr="00DC6450" w:rsidRDefault="00D732BA" w:rsidP="00D732BA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0DBD1D4B" w14:textId="77777777" w:rsidR="00D732BA" w:rsidRPr="00DC6450" w:rsidRDefault="00D732BA" w:rsidP="00D732BA">
      <w:pPr>
        <w:numPr>
          <w:ilvl w:val="0"/>
          <w:numId w:val="31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2B1988B6" w:rsidR="00B80B84" w:rsidRPr="00DC6450" w:rsidRDefault="00D732BA" w:rsidP="00D732BA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Předpis P1 pro tvorbu geodetických podkladů ve výstavbě a provozu na pozemních komunikacích</w:t>
      </w:r>
      <w:r>
        <w:rPr>
          <w:rFonts w:ascii="Book Antiqua" w:eastAsia="Times New Roman" w:hAnsi="Book Antiqua" w:cs="Arial"/>
          <w:lang w:eastAsia="cs-CZ"/>
        </w:rPr>
        <w:t xml:space="preserve"> </w:t>
      </w:r>
      <w:r w:rsidRPr="00312E8D">
        <w:rPr>
          <w:rFonts w:ascii="Book Antiqua" w:hAnsi="Book Antiqua" w:cs="Arial"/>
        </w:rPr>
        <w:t>a veškeré ostatní dokumenty tvořící součást Smlouvy</w:t>
      </w:r>
      <w:r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409734DE" w14:textId="27E6B6BD" w:rsidR="00727607" w:rsidRPr="00727607" w:rsidRDefault="002F5DC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586035">
        <w:rPr>
          <w:rFonts w:ascii="Book Antiqua" w:eastAsia="Calibri" w:hAnsi="Book Antiqua" w:cs="Arial"/>
          <w:sz w:val="22"/>
          <w:szCs w:val="22"/>
        </w:rPr>
        <w:t>Objednatel uvádí, že realizace Díla bude z důvodu zajištění financování rozdělena do dvou stavebních sezón. V</w:t>
      </w:r>
      <w:r w:rsidR="00727607" w:rsidRPr="00586035">
        <w:rPr>
          <w:rFonts w:ascii="Book Antiqua" w:eastAsia="Calibri" w:hAnsi="Book Antiqua" w:cs="Arial"/>
          <w:sz w:val="22"/>
          <w:szCs w:val="22"/>
        </w:rPr>
        <w:t xml:space="preserve"> roce 2025</w:t>
      </w:r>
      <w:r w:rsidRPr="00586035">
        <w:rPr>
          <w:rFonts w:ascii="Book Antiqua" w:eastAsia="Calibri" w:hAnsi="Book Antiqua" w:cs="Arial"/>
          <w:sz w:val="22"/>
          <w:szCs w:val="22"/>
        </w:rPr>
        <w:t xml:space="preserve"> budou</w:t>
      </w:r>
      <w:r w:rsidR="00727607" w:rsidRPr="00586035">
        <w:rPr>
          <w:rFonts w:ascii="Book Antiqua" w:eastAsia="Calibri" w:hAnsi="Book Antiqua" w:cs="Arial"/>
          <w:sz w:val="22"/>
          <w:szCs w:val="22"/>
        </w:rPr>
        <w:t xml:space="preserve"> realizovány stavební objekty SO 255, SO 256 a část SO 102 ve staničení km 1,942 až km 2567 a veškeré související práce z dalších SO, nezbytných pro úplné dokončení výše uvedených SO a jejich částí. Zbývající stavební objekty a jejich </w:t>
      </w:r>
      <w:proofErr w:type="gramStart"/>
      <w:r w:rsidR="00727607" w:rsidRPr="00586035">
        <w:rPr>
          <w:rFonts w:ascii="Book Antiqua" w:eastAsia="Calibri" w:hAnsi="Book Antiqua" w:cs="Arial"/>
          <w:sz w:val="22"/>
          <w:szCs w:val="22"/>
        </w:rPr>
        <w:t>části  budou</w:t>
      </w:r>
      <w:proofErr w:type="gramEnd"/>
      <w:r w:rsidR="00727607" w:rsidRPr="00586035">
        <w:rPr>
          <w:rFonts w:ascii="Book Antiqua" w:eastAsia="Calibri" w:hAnsi="Book Antiqua" w:cs="Arial"/>
          <w:sz w:val="22"/>
          <w:szCs w:val="22"/>
        </w:rPr>
        <w:t xml:space="preserve"> realizovány a dokončeny ve stavební sezóně 2026.</w:t>
      </w:r>
    </w:p>
    <w:p w14:paraId="12B92B33" w14:textId="3E1C1A8C" w:rsidR="000B34B0" w:rsidRPr="000B34B0" w:rsidRDefault="00F4769C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 xml:space="preserve">Zhotovitel je povinen koordinovat práce na Díle s plněním související smlouvy o dílo, kde je investorem </w:t>
      </w:r>
      <w:r>
        <w:rPr>
          <w:rFonts w:ascii="Book Antiqua" w:eastAsia="Calibri" w:hAnsi="Book Antiqua" w:cs="Arial"/>
          <w:sz w:val="22"/>
          <w:szCs w:val="22"/>
        </w:rPr>
        <w:t>o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bec </w:t>
      </w:r>
      <w:r w:rsidR="009C5A98" w:rsidRPr="009C5A98">
        <w:rPr>
          <w:rFonts w:ascii="Book Antiqua" w:eastAsia="Calibri" w:hAnsi="Book Antiqua" w:cs="Arial"/>
          <w:sz w:val="22"/>
          <w:szCs w:val="22"/>
        </w:rPr>
        <w:t>Klášterec nad Orlicí</w:t>
      </w:r>
      <w:r w:rsidRPr="00450D65">
        <w:rPr>
          <w:rFonts w:ascii="Book Antiqua" w:eastAsia="Calibri" w:hAnsi="Book Antiqua" w:cs="Arial"/>
          <w:sz w:val="22"/>
          <w:szCs w:val="22"/>
        </w:rPr>
        <w:t>. V rámci této koordinace je Zhotovitel povinen přizpůsobit postup výstavby pokynům Objednatele.</w:t>
      </w:r>
    </w:p>
    <w:p w14:paraId="11FC270F" w14:textId="7A2258E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349D9BF1" w14:textId="77777777" w:rsidR="00162741" w:rsidRDefault="00162741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</w:t>
      </w:r>
    </w:p>
    <w:p w14:paraId="2302A013" w14:textId="54857A04" w:rsidR="00B80B84" w:rsidRDefault="0019763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0D081D82" w:rsidR="003C0B46" w:rsidRDefault="000B34B0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0A666231" w14:textId="3521C0C6" w:rsidR="00CB2CF3" w:rsidRPr="00CB2CF3" w:rsidRDefault="00CB2CF3" w:rsidP="00CB2CF3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FB5820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51E96" w14:textId="77777777" w:rsidR="00C62890" w:rsidRDefault="00C62890" w:rsidP="00852575">
      <w:pPr>
        <w:spacing w:after="0" w:line="240" w:lineRule="auto"/>
      </w:pPr>
      <w:r>
        <w:separator/>
      </w:r>
    </w:p>
  </w:endnote>
  <w:endnote w:type="continuationSeparator" w:id="0">
    <w:p w14:paraId="088538DE" w14:textId="77777777" w:rsidR="00C62890" w:rsidRDefault="00C62890" w:rsidP="00852575">
      <w:pPr>
        <w:spacing w:after="0" w:line="240" w:lineRule="auto"/>
      </w:pPr>
      <w:r>
        <w:continuationSeparator/>
      </w:r>
    </w:p>
  </w:endnote>
  <w:endnote w:type="continuationNotice" w:id="1">
    <w:p w14:paraId="2193E124" w14:textId="77777777" w:rsidR="00C62890" w:rsidRDefault="00C628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D0122" w14:textId="77777777" w:rsidR="00C62890" w:rsidRDefault="00C62890" w:rsidP="00852575">
      <w:pPr>
        <w:spacing w:after="0" w:line="240" w:lineRule="auto"/>
      </w:pPr>
      <w:r>
        <w:separator/>
      </w:r>
    </w:p>
  </w:footnote>
  <w:footnote w:type="continuationSeparator" w:id="0">
    <w:p w14:paraId="7E5EA9C6" w14:textId="77777777" w:rsidR="00C62890" w:rsidRDefault="00C62890" w:rsidP="00852575">
      <w:pPr>
        <w:spacing w:after="0" w:line="240" w:lineRule="auto"/>
      </w:pPr>
      <w:r>
        <w:continuationSeparator/>
      </w:r>
    </w:p>
  </w:footnote>
  <w:footnote w:type="continuationNotice" w:id="1">
    <w:p w14:paraId="007FDF1F" w14:textId="77777777" w:rsidR="00C62890" w:rsidRDefault="00C628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09CAFD0" w:rsidR="00B72218" w:rsidRDefault="00CB2CF3" w:rsidP="00CB18FC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56119062" wp14:editId="7ADCE6ED">
          <wp:extent cx="1274445" cy="731520"/>
          <wp:effectExtent l="0" t="0" r="1905" b="0"/>
          <wp:docPr id="2" name="Obrázek 2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44A04C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BFBFB"/>
                      </a:clrFrom>
                      <a:clrTo>
                        <a:srgbClr val="FBFBF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76D6B"/>
    <w:multiLevelType w:val="hybridMultilevel"/>
    <w:tmpl w:val="E6CC9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8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6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9"/>
  </w:num>
  <w:num w:numId="3" w16cid:durableId="1531456836">
    <w:abstractNumId w:val="25"/>
  </w:num>
  <w:num w:numId="4" w16cid:durableId="1351761562">
    <w:abstractNumId w:val="5"/>
  </w:num>
  <w:num w:numId="5" w16cid:durableId="1072311113">
    <w:abstractNumId w:val="23"/>
  </w:num>
  <w:num w:numId="6" w16cid:durableId="521941174">
    <w:abstractNumId w:val="21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2"/>
  </w:num>
  <w:num w:numId="10" w16cid:durableId="381448822">
    <w:abstractNumId w:val="8"/>
  </w:num>
  <w:num w:numId="11" w16cid:durableId="1594312974">
    <w:abstractNumId w:val="20"/>
  </w:num>
  <w:num w:numId="12" w16cid:durableId="761611334">
    <w:abstractNumId w:val="14"/>
  </w:num>
  <w:num w:numId="13" w16cid:durableId="710030807">
    <w:abstractNumId w:val="17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8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6"/>
  </w:num>
  <w:num w:numId="20" w16cid:durableId="870648270">
    <w:abstractNumId w:val="7"/>
  </w:num>
  <w:num w:numId="21" w16cid:durableId="1265654228">
    <w:abstractNumId w:val="29"/>
  </w:num>
  <w:num w:numId="22" w16cid:durableId="1464343267">
    <w:abstractNumId w:val="18"/>
  </w:num>
  <w:num w:numId="23" w16cid:durableId="1426732163">
    <w:abstractNumId w:val="27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4"/>
  </w:num>
  <w:num w:numId="28" w16cid:durableId="1863591936">
    <w:abstractNumId w:val="30"/>
  </w:num>
  <w:num w:numId="29" w16cid:durableId="1686010838">
    <w:abstractNumId w:val="3"/>
  </w:num>
  <w:num w:numId="30" w16cid:durableId="2048482794">
    <w:abstractNumId w:val="6"/>
  </w:num>
  <w:num w:numId="31" w16cid:durableId="1943299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4B0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4083"/>
    <w:rsid w:val="00155B51"/>
    <w:rsid w:val="001612A3"/>
    <w:rsid w:val="00162149"/>
    <w:rsid w:val="00162741"/>
    <w:rsid w:val="00165E5D"/>
    <w:rsid w:val="00184EFD"/>
    <w:rsid w:val="0019299B"/>
    <w:rsid w:val="0019763B"/>
    <w:rsid w:val="001D6CF7"/>
    <w:rsid w:val="001E18F4"/>
    <w:rsid w:val="001E4D71"/>
    <w:rsid w:val="001F0EB7"/>
    <w:rsid w:val="001F4288"/>
    <w:rsid w:val="001F5BA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60F5"/>
    <w:rsid w:val="002D7C87"/>
    <w:rsid w:val="002E0671"/>
    <w:rsid w:val="002E177B"/>
    <w:rsid w:val="002F4978"/>
    <w:rsid w:val="002F5DC4"/>
    <w:rsid w:val="002F6CCD"/>
    <w:rsid w:val="00300E07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C3572"/>
    <w:rsid w:val="004D1AC0"/>
    <w:rsid w:val="004D32A7"/>
    <w:rsid w:val="004D3BD3"/>
    <w:rsid w:val="004D4367"/>
    <w:rsid w:val="004D7C17"/>
    <w:rsid w:val="004E0B7E"/>
    <w:rsid w:val="004E0FDC"/>
    <w:rsid w:val="004E5EBE"/>
    <w:rsid w:val="004F28C2"/>
    <w:rsid w:val="004F3410"/>
    <w:rsid w:val="004F3688"/>
    <w:rsid w:val="004F7EDC"/>
    <w:rsid w:val="005025A9"/>
    <w:rsid w:val="00506BDC"/>
    <w:rsid w:val="0051231C"/>
    <w:rsid w:val="00512B86"/>
    <w:rsid w:val="00515031"/>
    <w:rsid w:val="00516824"/>
    <w:rsid w:val="00517F10"/>
    <w:rsid w:val="00525172"/>
    <w:rsid w:val="0052676F"/>
    <w:rsid w:val="00526957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86035"/>
    <w:rsid w:val="005A47CA"/>
    <w:rsid w:val="005A70B8"/>
    <w:rsid w:val="005C15DA"/>
    <w:rsid w:val="005D6092"/>
    <w:rsid w:val="005D77E1"/>
    <w:rsid w:val="005E2CB2"/>
    <w:rsid w:val="00600DDB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748E"/>
    <w:rsid w:val="006A0329"/>
    <w:rsid w:val="006A6845"/>
    <w:rsid w:val="006A79A3"/>
    <w:rsid w:val="006B208C"/>
    <w:rsid w:val="006C4118"/>
    <w:rsid w:val="006D014F"/>
    <w:rsid w:val="006E014A"/>
    <w:rsid w:val="006E0C2E"/>
    <w:rsid w:val="006E5336"/>
    <w:rsid w:val="006E6EC5"/>
    <w:rsid w:val="006E72EF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7607"/>
    <w:rsid w:val="00732D56"/>
    <w:rsid w:val="0073543D"/>
    <w:rsid w:val="00735E05"/>
    <w:rsid w:val="00747724"/>
    <w:rsid w:val="00750BB6"/>
    <w:rsid w:val="0075266E"/>
    <w:rsid w:val="00755448"/>
    <w:rsid w:val="00772749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379E"/>
    <w:rsid w:val="00843F44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70AD"/>
    <w:rsid w:val="008D0DFA"/>
    <w:rsid w:val="008E170F"/>
    <w:rsid w:val="008E34B3"/>
    <w:rsid w:val="008E65C6"/>
    <w:rsid w:val="008E718A"/>
    <w:rsid w:val="008F3987"/>
    <w:rsid w:val="009072AA"/>
    <w:rsid w:val="009154A2"/>
    <w:rsid w:val="00921AC5"/>
    <w:rsid w:val="00937AB1"/>
    <w:rsid w:val="00941193"/>
    <w:rsid w:val="00950C85"/>
    <w:rsid w:val="009546BC"/>
    <w:rsid w:val="00956C6D"/>
    <w:rsid w:val="00975EBD"/>
    <w:rsid w:val="00981041"/>
    <w:rsid w:val="00983B81"/>
    <w:rsid w:val="009844B9"/>
    <w:rsid w:val="00986676"/>
    <w:rsid w:val="00986AC4"/>
    <w:rsid w:val="009A6447"/>
    <w:rsid w:val="009A7B01"/>
    <w:rsid w:val="009B173D"/>
    <w:rsid w:val="009C5A98"/>
    <w:rsid w:val="009D3C01"/>
    <w:rsid w:val="009E234E"/>
    <w:rsid w:val="00A06C5F"/>
    <w:rsid w:val="00A11EFA"/>
    <w:rsid w:val="00A22F1C"/>
    <w:rsid w:val="00A23E73"/>
    <w:rsid w:val="00A265DE"/>
    <w:rsid w:val="00A54B0F"/>
    <w:rsid w:val="00A5508D"/>
    <w:rsid w:val="00A600B1"/>
    <w:rsid w:val="00A604DE"/>
    <w:rsid w:val="00A639AB"/>
    <w:rsid w:val="00A64FAA"/>
    <w:rsid w:val="00A67DE8"/>
    <w:rsid w:val="00A80560"/>
    <w:rsid w:val="00A94495"/>
    <w:rsid w:val="00AB236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75AE9"/>
    <w:rsid w:val="00B80B84"/>
    <w:rsid w:val="00B81C27"/>
    <w:rsid w:val="00B878C4"/>
    <w:rsid w:val="00BA6E95"/>
    <w:rsid w:val="00BA7111"/>
    <w:rsid w:val="00BC56DE"/>
    <w:rsid w:val="00BD0660"/>
    <w:rsid w:val="00BD5180"/>
    <w:rsid w:val="00BD6DE6"/>
    <w:rsid w:val="00BD7FA4"/>
    <w:rsid w:val="00BE24D3"/>
    <w:rsid w:val="00BE6830"/>
    <w:rsid w:val="00BF1988"/>
    <w:rsid w:val="00C00F72"/>
    <w:rsid w:val="00C1222A"/>
    <w:rsid w:val="00C175FE"/>
    <w:rsid w:val="00C26C6E"/>
    <w:rsid w:val="00C27B17"/>
    <w:rsid w:val="00C40904"/>
    <w:rsid w:val="00C43F64"/>
    <w:rsid w:val="00C45C27"/>
    <w:rsid w:val="00C4640A"/>
    <w:rsid w:val="00C472BE"/>
    <w:rsid w:val="00C557C2"/>
    <w:rsid w:val="00C607EC"/>
    <w:rsid w:val="00C62890"/>
    <w:rsid w:val="00C7656D"/>
    <w:rsid w:val="00C8072A"/>
    <w:rsid w:val="00C816D2"/>
    <w:rsid w:val="00C86BB9"/>
    <w:rsid w:val="00C924EE"/>
    <w:rsid w:val="00CA5212"/>
    <w:rsid w:val="00CB18FC"/>
    <w:rsid w:val="00CB2CF3"/>
    <w:rsid w:val="00CD18B7"/>
    <w:rsid w:val="00CD64D5"/>
    <w:rsid w:val="00CD72E2"/>
    <w:rsid w:val="00CE77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32BA"/>
    <w:rsid w:val="00D76AA9"/>
    <w:rsid w:val="00D8520E"/>
    <w:rsid w:val="00D966D4"/>
    <w:rsid w:val="00DA303A"/>
    <w:rsid w:val="00DA3856"/>
    <w:rsid w:val="00DA75FB"/>
    <w:rsid w:val="00DC1DA4"/>
    <w:rsid w:val="00DC5F0D"/>
    <w:rsid w:val="00DC6450"/>
    <w:rsid w:val="00DD2456"/>
    <w:rsid w:val="00DE077F"/>
    <w:rsid w:val="00DF038F"/>
    <w:rsid w:val="00DF242A"/>
    <w:rsid w:val="00E010D2"/>
    <w:rsid w:val="00E055C8"/>
    <w:rsid w:val="00E10AF6"/>
    <w:rsid w:val="00E12EA4"/>
    <w:rsid w:val="00E21C62"/>
    <w:rsid w:val="00E25890"/>
    <w:rsid w:val="00E45212"/>
    <w:rsid w:val="00E46601"/>
    <w:rsid w:val="00E46DCF"/>
    <w:rsid w:val="00E513FD"/>
    <w:rsid w:val="00E704AF"/>
    <w:rsid w:val="00E738AE"/>
    <w:rsid w:val="00E83F59"/>
    <w:rsid w:val="00E87C7F"/>
    <w:rsid w:val="00E92E4C"/>
    <w:rsid w:val="00EA1658"/>
    <w:rsid w:val="00EA5AD5"/>
    <w:rsid w:val="00EA60AE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4769C"/>
    <w:rsid w:val="00F508C4"/>
    <w:rsid w:val="00F51DCA"/>
    <w:rsid w:val="00F54B32"/>
    <w:rsid w:val="00F55AC0"/>
    <w:rsid w:val="00F6178F"/>
    <w:rsid w:val="00F654E6"/>
    <w:rsid w:val="00F669F2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3AFC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D2540-90BF-4EDE-AC1D-E80FE1ECE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929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6404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Krátká Marie</cp:lastModifiedBy>
  <cp:revision>58</cp:revision>
  <cp:lastPrinted>2019-03-08T21:33:00Z</cp:lastPrinted>
  <dcterms:created xsi:type="dcterms:W3CDTF">2023-09-20T07:46:00Z</dcterms:created>
  <dcterms:modified xsi:type="dcterms:W3CDTF">2025-04-04T11:37:00Z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151026600</vt:r8>
  </property>
  <property fmtid="{D5CDD505-2E9C-101B-9397-08002B2CF9AE}" pid="5" name="PromotedState">
    <vt:r8>0</vt:r8>
  </property>
  <property fmtid="{D5CDD505-2E9C-101B-9397-08002B2CF9AE}" pid="6" name="xd_Signature">
    <vt:bool>false</vt:bool>
  </property>
  <property fmtid="{D5CDD505-2E9C-101B-9397-08002B2CF9AE}" pid="7" name="Odkaz">
    <vt:lpwstr>, </vt:lpwstr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A">
    <vt:lpwstr>, </vt:lpwstr>
  </property>
  <property fmtid="{D5CDD505-2E9C-101B-9397-08002B2CF9AE}" pid="12" name="BannerImageUrl">
    <vt:lpwstr>, </vt:lpwstr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